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38CB" w14:textId="7D472521" w:rsidR="000A3622" w:rsidRPr="00601A33" w:rsidRDefault="00601A33" w:rsidP="00601A3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‘</w:t>
      </w:r>
      <w:r w:rsidR="005F3A17" w:rsidRPr="00601A33">
        <w:rPr>
          <w:b/>
          <w:bCs/>
          <w:sz w:val="36"/>
          <w:szCs w:val="36"/>
        </w:rPr>
        <w:t>BROOMFIELD TAXPAYER MATTERS</w:t>
      </w:r>
      <w:r>
        <w:rPr>
          <w:b/>
          <w:bCs/>
          <w:sz w:val="36"/>
          <w:szCs w:val="36"/>
        </w:rPr>
        <w:t>’</w:t>
      </w:r>
      <w:r w:rsidR="005F3A17" w:rsidRPr="00601A33">
        <w:rPr>
          <w:b/>
          <w:bCs/>
          <w:sz w:val="36"/>
          <w:szCs w:val="36"/>
        </w:rPr>
        <w:t xml:space="preserve"> </w:t>
      </w:r>
      <w:r w:rsidRPr="00601A33">
        <w:rPr>
          <w:b/>
          <w:bCs/>
          <w:sz w:val="36"/>
          <w:szCs w:val="36"/>
        </w:rPr>
        <w:t>MISLEADS VOTERS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745"/>
        <w:gridCol w:w="6525"/>
      </w:tblGrid>
      <w:tr w:rsidR="00603AFE" w:rsidRPr="00794823" w14:paraId="210ED793" w14:textId="77777777" w:rsidTr="00601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bottom"/>
            <w:hideMark/>
          </w:tcPr>
          <w:p w14:paraId="567BA27A" w14:textId="4449C54B" w:rsidR="00603AFE" w:rsidRPr="00603AFE" w:rsidRDefault="00603AFE" w:rsidP="00601A33">
            <w:pPr>
              <w:spacing w:after="160" w:line="278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AFE">
              <w:rPr>
                <w:rFonts w:ascii="Arial" w:hAnsi="Arial" w:cs="Arial"/>
                <w:sz w:val="28"/>
                <w:szCs w:val="28"/>
              </w:rPr>
              <w:t>BTM Claim</w:t>
            </w:r>
          </w:p>
        </w:tc>
        <w:tc>
          <w:tcPr>
            <w:tcW w:w="6525" w:type="dxa"/>
            <w:vAlign w:val="bottom"/>
            <w:hideMark/>
          </w:tcPr>
          <w:p w14:paraId="60150287" w14:textId="7FB9DE5F" w:rsidR="00603AFE" w:rsidRPr="00603AFE" w:rsidRDefault="00E84E1C" w:rsidP="00601A33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1A33">
              <w:rPr>
                <w:rFonts w:ascii="Arial" w:hAnsi="Arial" w:cs="Arial"/>
                <w:sz w:val="28"/>
                <w:szCs w:val="28"/>
              </w:rPr>
              <w:t>Fact Check</w:t>
            </w:r>
          </w:p>
        </w:tc>
      </w:tr>
      <w:tr w:rsidR="00603AFE" w:rsidRPr="00794823" w14:paraId="27F22D89" w14:textId="77777777" w:rsidTr="000A3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center"/>
            <w:hideMark/>
          </w:tcPr>
          <w:p w14:paraId="5170F6C5" w14:textId="77777777" w:rsidR="00603AFE" w:rsidRPr="00603AFE" w:rsidRDefault="00603AFE" w:rsidP="000A3622">
            <w:pPr>
              <w:spacing w:after="160"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603AFE">
              <w:rPr>
                <w:rFonts w:ascii="Arial" w:hAnsi="Arial" w:cs="Arial"/>
                <w:b w:val="0"/>
                <w:bCs w:val="0"/>
                <w:i/>
                <w:iCs/>
              </w:rPr>
              <w:t>Per-person spending up 186% since 2017 to $7,722 (2026</w:t>
            </w:r>
            <w:r w:rsidRPr="00603AF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6525" w:type="dxa"/>
            <w:hideMark/>
          </w:tcPr>
          <w:p w14:paraId="75B7D1A2" w14:textId="7C06CE7F" w:rsidR="00603AFE" w:rsidRPr="00603AFE" w:rsidRDefault="00603AFE" w:rsidP="00603AF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3AFE">
              <w:rPr>
                <w:rFonts w:ascii="Arial" w:hAnsi="Arial" w:cs="Arial"/>
                <w:b/>
                <w:bCs/>
                <w:color w:val="C00000"/>
              </w:rPr>
              <w:t>Misleading</w:t>
            </w:r>
            <w:r w:rsidR="00E84E1C" w:rsidRPr="00794823">
              <w:rPr>
                <w:rFonts w:ascii="Arial" w:hAnsi="Arial" w:cs="Arial"/>
              </w:rPr>
              <w:t>:</w:t>
            </w:r>
            <w:r w:rsidRPr="00603AFE">
              <w:rPr>
                <w:rFonts w:ascii="Arial" w:hAnsi="Arial" w:cs="Arial"/>
              </w:rPr>
              <w:t xml:space="preserve"> It includes $283.5M one-time bond proceeds. Actual increase is ~97% over 9 years (~8% annually), </w:t>
            </w:r>
            <w:r w:rsidRPr="00603AFE">
              <w:rPr>
                <w:rFonts w:ascii="Arial" w:hAnsi="Arial" w:cs="Arial"/>
                <w:b/>
                <w:bCs/>
              </w:rPr>
              <w:t xml:space="preserve">close to combined inflation </w:t>
            </w:r>
            <w:r w:rsidR="00E84E1C" w:rsidRPr="00794823">
              <w:rPr>
                <w:rFonts w:ascii="Arial" w:hAnsi="Arial" w:cs="Arial"/>
                <w:b/>
                <w:bCs/>
              </w:rPr>
              <w:t>plus</w:t>
            </w:r>
            <w:r w:rsidRPr="00603AFE">
              <w:rPr>
                <w:rFonts w:ascii="Arial" w:hAnsi="Arial" w:cs="Arial"/>
                <w:b/>
                <w:bCs/>
              </w:rPr>
              <w:t xml:space="preserve"> population growth</w:t>
            </w:r>
            <w:r w:rsidRPr="00603AFE">
              <w:rPr>
                <w:rFonts w:ascii="Arial" w:hAnsi="Arial" w:cs="Arial"/>
              </w:rPr>
              <w:t xml:space="preserve"> (~6%).</w:t>
            </w:r>
            <w:r w:rsidR="00E84E1C" w:rsidRPr="00794823">
              <w:rPr>
                <w:rFonts w:ascii="Arial" w:hAnsi="Arial" w:cs="Arial"/>
              </w:rPr>
              <w:t xml:space="preserve"> We have increased police budget by 27% and added 35 officers. Result: Lowest per capita crime rate in metro, i.e. safest city.</w:t>
            </w:r>
          </w:p>
        </w:tc>
      </w:tr>
      <w:tr w:rsidR="00603AFE" w:rsidRPr="00794823" w14:paraId="472DEE3C" w14:textId="77777777" w:rsidTr="000A3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center"/>
            <w:hideMark/>
          </w:tcPr>
          <w:p w14:paraId="10C9BA03" w14:textId="77777777" w:rsidR="00603AFE" w:rsidRPr="00603AFE" w:rsidRDefault="00603AFE" w:rsidP="000A3622">
            <w:pPr>
              <w:spacing w:after="160" w:line="278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03AFE">
              <w:rPr>
                <w:rFonts w:ascii="Arial" w:hAnsi="Arial" w:cs="Arial"/>
                <w:i/>
                <w:iCs/>
              </w:rPr>
              <w:br/>
            </w:r>
            <w:r w:rsidRPr="00603AFE">
              <w:rPr>
                <w:rFonts w:ascii="Arial" w:hAnsi="Arial" w:cs="Arial"/>
                <w:b w:val="0"/>
                <w:bCs w:val="0"/>
                <w:i/>
                <w:iCs/>
              </w:rPr>
              <w:t>Total spending increased $599M (245%) since 2017</w:t>
            </w:r>
          </w:p>
        </w:tc>
        <w:tc>
          <w:tcPr>
            <w:tcW w:w="6525" w:type="dxa"/>
            <w:hideMark/>
          </w:tcPr>
          <w:p w14:paraId="25F1C561" w14:textId="70AB8988" w:rsidR="00603AFE" w:rsidRPr="00603AFE" w:rsidRDefault="00603AFE" w:rsidP="00603A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3AFE">
              <w:rPr>
                <w:rFonts w:ascii="Arial" w:hAnsi="Arial" w:cs="Arial"/>
                <w:b/>
                <w:bCs/>
                <w:color w:val="C00000"/>
              </w:rPr>
              <w:t>False</w:t>
            </w:r>
            <w:r w:rsidR="00E84E1C" w:rsidRPr="00794823">
              <w:rPr>
                <w:rFonts w:ascii="Arial" w:hAnsi="Arial" w:cs="Arial"/>
              </w:rPr>
              <w:t xml:space="preserve">: </w:t>
            </w:r>
            <w:r w:rsidRPr="00603AFE">
              <w:rPr>
                <w:rFonts w:ascii="Arial" w:hAnsi="Arial" w:cs="Arial"/>
              </w:rPr>
              <w:t xml:space="preserve">When compared correctly — excluding bond proceeds and pass-through fiduciary funds </w:t>
            </w:r>
            <w:r w:rsidR="0051651E" w:rsidRPr="00603AFE">
              <w:rPr>
                <w:rFonts w:ascii="Arial" w:hAnsi="Arial" w:cs="Arial"/>
              </w:rPr>
              <w:t xml:space="preserve">— </w:t>
            </w:r>
            <w:r w:rsidRPr="00603AFE">
              <w:rPr>
                <w:rFonts w:ascii="Arial" w:hAnsi="Arial" w:cs="Arial"/>
                <w:b/>
                <w:bCs/>
              </w:rPr>
              <w:t>growth consistent with ~6%/year.</w:t>
            </w:r>
            <w:r w:rsidRPr="00603AFE">
              <w:rPr>
                <w:rFonts w:ascii="Arial" w:hAnsi="Arial" w:cs="Arial"/>
              </w:rPr>
              <w:t xml:space="preserve"> </w:t>
            </w:r>
            <w:r w:rsidRPr="00794823">
              <w:rPr>
                <w:rFonts w:ascii="Arial" w:hAnsi="Arial" w:cs="Arial"/>
              </w:rPr>
              <w:t xml:space="preserve">The change from </w:t>
            </w:r>
            <w:r w:rsidRPr="00603AFE">
              <w:rPr>
                <w:rFonts w:ascii="Arial" w:hAnsi="Arial" w:cs="Arial"/>
              </w:rPr>
              <w:t>2025</w:t>
            </w:r>
            <w:r w:rsidRPr="00794823">
              <w:rPr>
                <w:rFonts w:ascii="Arial" w:hAnsi="Arial" w:cs="Arial"/>
              </w:rPr>
              <w:t xml:space="preserve"> to the 20</w:t>
            </w:r>
            <w:r w:rsidRPr="00603AFE">
              <w:rPr>
                <w:rFonts w:ascii="Arial" w:hAnsi="Arial" w:cs="Arial"/>
              </w:rPr>
              <w:t>26 “operating budget” decreases by $23.6M once one-time bond items</w:t>
            </w:r>
            <w:r w:rsidRPr="00794823">
              <w:rPr>
                <w:rFonts w:ascii="Arial" w:hAnsi="Arial" w:cs="Arial"/>
              </w:rPr>
              <w:t>, fiduciary contributions and interfund activities</w:t>
            </w:r>
            <w:r w:rsidRPr="00603AFE">
              <w:rPr>
                <w:rFonts w:ascii="Arial" w:hAnsi="Arial" w:cs="Arial"/>
              </w:rPr>
              <w:t xml:space="preserve"> are removed.</w:t>
            </w:r>
          </w:p>
        </w:tc>
      </w:tr>
      <w:tr w:rsidR="00603AFE" w:rsidRPr="00794823" w14:paraId="3BFE302D" w14:textId="77777777" w:rsidTr="000A3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center"/>
            <w:hideMark/>
          </w:tcPr>
          <w:p w14:paraId="48193F06" w14:textId="77777777" w:rsidR="00603AFE" w:rsidRPr="00603AFE" w:rsidRDefault="00603AFE" w:rsidP="000A3622">
            <w:pPr>
              <w:spacing w:after="160" w:line="278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03AFE">
              <w:rPr>
                <w:rFonts w:ascii="Arial" w:hAnsi="Arial" w:cs="Arial"/>
                <w:i/>
                <w:iCs/>
              </w:rPr>
              <w:br/>
            </w:r>
            <w:r w:rsidRPr="00603AFE">
              <w:rPr>
                <w:rFonts w:ascii="Arial" w:hAnsi="Arial" w:cs="Arial"/>
                <w:b w:val="0"/>
                <w:bCs w:val="0"/>
                <w:i/>
                <w:iCs/>
              </w:rPr>
              <w:t>2026 budget will use $283.5M in bond proceeds (32% of budget)</w:t>
            </w:r>
          </w:p>
        </w:tc>
        <w:tc>
          <w:tcPr>
            <w:tcW w:w="6525" w:type="dxa"/>
            <w:hideMark/>
          </w:tcPr>
          <w:p w14:paraId="0B93B11C" w14:textId="58921D50" w:rsidR="00603AFE" w:rsidRPr="00603AFE" w:rsidRDefault="00603AFE" w:rsidP="00603AF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3AFE">
              <w:rPr>
                <w:rFonts w:ascii="Arial" w:hAnsi="Arial" w:cs="Arial"/>
                <w:b/>
                <w:bCs/>
                <w:color w:val="C00000"/>
              </w:rPr>
              <w:t>True but normal</w:t>
            </w:r>
            <w:r w:rsidR="00E84E1C" w:rsidRPr="00794823">
              <w:rPr>
                <w:rFonts w:ascii="Arial" w:hAnsi="Arial" w:cs="Arial"/>
                <w:b/>
                <w:bCs/>
                <w:color w:val="C00000"/>
              </w:rPr>
              <w:t>:</w:t>
            </w:r>
            <w:r w:rsidR="00E84E1C" w:rsidRPr="00794823">
              <w:rPr>
                <w:rFonts w:ascii="Arial" w:hAnsi="Arial" w:cs="Arial"/>
              </w:rPr>
              <w:t xml:space="preserve"> These</w:t>
            </w:r>
            <w:r w:rsidRPr="00603AFE">
              <w:rPr>
                <w:rFonts w:ascii="Arial" w:hAnsi="Arial" w:cs="Arial"/>
              </w:rPr>
              <w:t xml:space="preserve"> are borrowed funds for long-lived capital projects (water tanks, police facility), not operational spending. </w:t>
            </w:r>
            <w:r w:rsidRPr="00603AFE">
              <w:rPr>
                <w:rFonts w:ascii="Arial" w:hAnsi="Arial" w:cs="Arial"/>
                <w:b/>
                <w:bCs/>
              </w:rPr>
              <w:t>Accounting rules require showing bonds as both revenue and expense</w:t>
            </w:r>
            <w:r w:rsidRPr="00603AFE">
              <w:rPr>
                <w:rFonts w:ascii="Arial" w:hAnsi="Arial" w:cs="Arial"/>
              </w:rPr>
              <w:t xml:space="preserve"> in the year issued.</w:t>
            </w:r>
          </w:p>
        </w:tc>
      </w:tr>
      <w:tr w:rsidR="00603AFE" w:rsidRPr="00794823" w14:paraId="33B19227" w14:textId="77777777" w:rsidTr="000A3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center"/>
            <w:hideMark/>
          </w:tcPr>
          <w:p w14:paraId="218B003F" w14:textId="77777777" w:rsidR="00603AFE" w:rsidRPr="00603AFE" w:rsidRDefault="00603AFE" w:rsidP="000A3622">
            <w:pPr>
              <w:spacing w:after="160" w:line="278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03AFE">
              <w:rPr>
                <w:rFonts w:ascii="Arial" w:hAnsi="Arial" w:cs="Arial"/>
                <w:i/>
                <w:iCs/>
              </w:rPr>
              <w:br/>
            </w:r>
            <w:r w:rsidRPr="00603AFE">
              <w:rPr>
                <w:rFonts w:ascii="Arial" w:hAnsi="Arial" w:cs="Arial"/>
                <w:b w:val="0"/>
                <w:bCs w:val="0"/>
                <w:i/>
                <w:iCs/>
              </w:rPr>
              <w:t>Property taxes up 13.6% since 2023</w:t>
            </w:r>
          </w:p>
        </w:tc>
        <w:tc>
          <w:tcPr>
            <w:tcW w:w="6525" w:type="dxa"/>
            <w:hideMark/>
          </w:tcPr>
          <w:p w14:paraId="6C9538D1" w14:textId="6582D036" w:rsidR="00603AFE" w:rsidRPr="00603AFE" w:rsidRDefault="0051651E" w:rsidP="00603A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823">
              <w:rPr>
                <w:rFonts w:ascii="Arial" w:hAnsi="Arial" w:cs="Arial"/>
                <w:b/>
                <w:bCs/>
                <w:color w:val="C00000"/>
              </w:rPr>
              <w:t>L</w:t>
            </w:r>
            <w:r w:rsidR="00603AFE" w:rsidRPr="00603AFE">
              <w:rPr>
                <w:rFonts w:ascii="Arial" w:hAnsi="Arial" w:cs="Arial"/>
                <w:b/>
                <w:bCs/>
                <w:color w:val="C00000"/>
              </w:rPr>
              <w:t>acks context</w:t>
            </w:r>
            <w:r w:rsidRPr="00794823">
              <w:rPr>
                <w:rFonts w:ascii="Arial" w:hAnsi="Arial" w:cs="Arial"/>
                <w:b/>
                <w:bCs/>
                <w:color w:val="C00000"/>
              </w:rPr>
              <w:t>:</w:t>
            </w:r>
            <w:r w:rsidRPr="00794823">
              <w:rPr>
                <w:rFonts w:ascii="Arial" w:hAnsi="Arial" w:cs="Arial"/>
                <w:color w:val="C00000"/>
              </w:rPr>
              <w:t xml:space="preserve"> </w:t>
            </w:r>
            <w:r w:rsidRPr="00794823">
              <w:rPr>
                <w:rFonts w:ascii="Arial" w:hAnsi="Arial" w:cs="Arial"/>
                <w:b/>
                <w:bCs/>
              </w:rPr>
              <w:t>Tax</w:t>
            </w:r>
            <w:r w:rsidR="00603AFE" w:rsidRPr="00603AFE">
              <w:rPr>
                <w:rFonts w:ascii="Arial" w:hAnsi="Arial" w:cs="Arial"/>
                <w:b/>
                <w:bCs/>
              </w:rPr>
              <w:t xml:space="preserve"> rate hasn’t changed since 2001 </w:t>
            </w:r>
            <w:r w:rsidR="00603AFE" w:rsidRPr="00603AFE">
              <w:rPr>
                <w:rFonts w:ascii="Arial" w:hAnsi="Arial" w:cs="Arial"/>
              </w:rPr>
              <w:t>(28.968 mills); the increase is due to state-determined valuations rising ~41% for residential. Average annual change ≈4.6%.</w:t>
            </w:r>
          </w:p>
        </w:tc>
      </w:tr>
      <w:tr w:rsidR="00603AFE" w:rsidRPr="00794823" w14:paraId="39A47F40" w14:textId="77777777" w:rsidTr="000A3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center"/>
            <w:hideMark/>
          </w:tcPr>
          <w:p w14:paraId="3E40AF1F" w14:textId="77777777" w:rsidR="00603AFE" w:rsidRPr="00603AFE" w:rsidRDefault="00603AFE" w:rsidP="000A3622">
            <w:pPr>
              <w:spacing w:after="160" w:line="278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03AFE">
              <w:rPr>
                <w:rFonts w:ascii="Arial" w:hAnsi="Arial" w:cs="Arial"/>
                <w:b w:val="0"/>
                <w:bCs w:val="0"/>
                <w:i/>
                <w:iCs/>
              </w:rPr>
              <w:br/>
              <w:t>Debt will hit $510M (125% jump vs 2025)</w:t>
            </w:r>
          </w:p>
        </w:tc>
        <w:tc>
          <w:tcPr>
            <w:tcW w:w="6525" w:type="dxa"/>
            <w:hideMark/>
          </w:tcPr>
          <w:p w14:paraId="528B00A4" w14:textId="652F2C90" w:rsidR="00603AFE" w:rsidRPr="00603AFE" w:rsidRDefault="00603AFE" w:rsidP="00603AF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3AFE">
              <w:rPr>
                <w:rFonts w:ascii="Arial" w:hAnsi="Arial" w:cs="Arial"/>
                <w:b/>
                <w:bCs/>
                <w:color w:val="C00000"/>
              </w:rPr>
              <w:t>Context missing</w:t>
            </w:r>
            <w:r w:rsidRPr="00603AFE">
              <w:rPr>
                <w:rFonts w:ascii="Arial" w:hAnsi="Arial" w:cs="Arial"/>
                <w:color w:val="C00000"/>
              </w:rPr>
              <w:t xml:space="preserve"> </w:t>
            </w:r>
            <w:r w:rsidRPr="00603AFE">
              <w:rPr>
                <w:rFonts w:ascii="Arial" w:hAnsi="Arial" w:cs="Arial"/>
              </w:rPr>
              <w:t xml:space="preserve">$283.5M of this is for new infrastructure. </w:t>
            </w:r>
            <w:r w:rsidRPr="00603AFE">
              <w:rPr>
                <w:rFonts w:ascii="Arial" w:hAnsi="Arial" w:cs="Arial"/>
                <w:b/>
                <w:bCs/>
              </w:rPr>
              <w:t>Existing debt decreases</w:t>
            </w:r>
            <w:r w:rsidRPr="00603AFE">
              <w:rPr>
                <w:rFonts w:ascii="Arial" w:hAnsi="Arial" w:cs="Arial"/>
              </w:rPr>
              <w:t xml:space="preserve"> from $241.9M (2024) to $227.3M (2025). Enterprise debt (e.g., water) is separate from general fund obligations. Total assets </w:t>
            </w:r>
            <w:r w:rsidR="0051651E" w:rsidRPr="00794823">
              <w:rPr>
                <w:rFonts w:ascii="Arial" w:hAnsi="Arial" w:cs="Arial"/>
              </w:rPr>
              <w:t xml:space="preserve">are </w:t>
            </w:r>
            <w:r w:rsidR="00E84E1C" w:rsidRPr="00794823">
              <w:rPr>
                <w:rFonts w:ascii="Arial" w:hAnsi="Arial" w:cs="Arial"/>
              </w:rPr>
              <w:t>nearly</w:t>
            </w:r>
            <w:r w:rsidRPr="00603AFE">
              <w:rPr>
                <w:rFonts w:ascii="Arial" w:hAnsi="Arial" w:cs="Arial"/>
              </w:rPr>
              <w:t xml:space="preserve"> $1.3B, so debt level is reasonable.</w:t>
            </w:r>
          </w:p>
        </w:tc>
      </w:tr>
      <w:tr w:rsidR="00603AFE" w:rsidRPr="00794823" w14:paraId="30028706" w14:textId="77777777" w:rsidTr="000A3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center"/>
            <w:hideMark/>
          </w:tcPr>
          <w:p w14:paraId="76B294C3" w14:textId="77777777" w:rsidR="00603AFE" w:rsidRPr="00603AFE" w:rsidRDefault="00603AFE" w:rsidP="000A3622">
            <w:pPr>
              <w:spacing w:after="160" w:line="278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03AFE">
              <w:rPr>
                <w:rFonts w:ascii="Arial" w:hAnsi="Arial" w:cs="Arial"/>
                <w:b w:val="0"/>
                <w:bCs w:val="0"/>
                <w:i/>
                <w:iCs/>
              </w:rPr>
              <w:t>Water rates increasing 133% by 2028</w:t>
            </w:r>
          </w:p>
        </w:tc>
        <w:tc>
          <w:tcPr>
            <w:tcW w:w="6525" w:type="dxa"/>
            <w:hideMark/>
          </w:tcPr>
          <w:p w14:paraId="3C01E6DD" w14:textId="1C99687A" w:rsidR="00603AFE" w:rsidRPr="00603AFE" w:rsidRDefault="00603AFE" w:rsidP="00603AFE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4823">
              <w:rPr>
                <w:rFonts w:ascii="Arial" w:hAnsi="Arial" w:cs="Arial"/>
                <w:b/>
                <w:bCs/>
                <w:color w:val="C00000"/>
              </w:rPr>
              <w:t>Context missing</w:t>
            </w:r>
            <w:r w:rsidRPr="00794823">
              <w:rPr>
                <w:rFonts w:ascii="Arial" w:hAnsi="Arial" w:cs="Arial"/>
              </w:rPr>
              <w:t xml:space="preserve">. </w:t>
            </w:r>
            <w:r w:rsidRPr="00603AFE">
              <w:rPr>
                <w:rFonts w:ascii="Arial" w:hAnsi="Arial" w:cs="Arial"/>
              </w:rPr>
              <w:t xml:space="preserve">Rate increases are tied to infrastructure upgrades and regulatory compliance. </w:t>
            </w:r>
            <w:r w:rsidR="0051651E" w:rsidRPr="00794823">
              <w:rPr>
                <w:rFonts w:ascii="Arial" w:hAnsi="Arial" w:cs="Arial"/>
              </w:rPr>
              <w:t>BTM omits</w:t>
            </w:r>
            <w:r w:rsidRPr="00603AFE">
              <w:rPr>
                <w:rFonts w:ascii="Arial" w:hAnsi="Arial" w:cs="Arial"/>
              </w:rPr>
              <w:t xml:space="preserve"> that these are </w:t>
            </w:r>
            <w:r w:rsidRPr="00603AFE">
              <w:rPr>
                <w:rFonts w:ascii="Arial" w:hAnsi="Arial" w:cs="Arial"/>
                <w:b/>
                <w:bCs/>
              </w:rPr>
              <w:t>planned, incremental, and fund safe/reliable water service</w:t>
            </w:r>
            <w:r w:rsidRPr="00603AFE">
              <w:rPr>
                <w:rFonts w:ascii="Arial" w:hAnsi="Arial" w:cs="Arial"/>
              </w:rPr>
              <w:t>.</w:t>
            </w:r>
            <w:r w:rsidR="0051651E" w:rsidRPr="00794823">
              <w:rPr>
                <w:rFonts w:ascii="Arial" w:hAnsi="Arial" w:cs="Arial"/>
              </w:rPr>
              <w:t xml:space="preserve"> Without it, more frequent and longer outages.</w:t>
            </w:r>
          </w:p>
        </w:tc>
      </w:tr>
      <w:tr w:rsidR="00603AFE" w:rsidRPr="00794823" w14:paraId="72F69CBB" w14:textId="77777777" w:rsidTr="000A3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5" w:type="dxa"/>
            <w:vAlign w:val="center"/>
            <w:hideMark/>
          </w:tcPr>
          <w:p w14:paraId="6C02C9BE" w14:textId="6E47EAE5" w:rsidR="00603AFE" w:rsidRPr="00603AFE" w:rsidRDefault="00603AFE" w:rsidP="000A3622">
            <w:pPr>
              <w:spacing w:after="160" w:line="278" w:lineRule="auto"/>
              <w:jc w:val="center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603AFE">
              <w:rPr>
                <w:rFonts w:ascii="Arial" w:hAnsi="Arial" w:cs="Arial"/>
                <w:b w:val="0"/>
                <w:bCs w:val="0"/>
                <w:i/>
                <w:iCs/>
              </w:rPr>
              <w:lastRenderedPageBreak/>
              <w:t>244% spending increase since 2017</w:t>
            </w:r>
          </w:p>
        </w:tc>
        <w:tc>
          <w:tcPr>
            <w:tcW w:w="6525" w:type="dxa"/>
            <w:hideMark/>
          </w:tcPr>
          <w:p w14:paraId="420272B0" w14:textId="1C7F6DC5" w:rsidR="00603AFE" w:rsidRPr="00603AFE" w:rsidRDefault="00603AFE" w:rsidP="00603AFE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3AFE">
              <w:rPr>
                <w:rFonts w:ascii="Arial" w:hAnsi="Arial" w:cs="Arial"/>
                <w:b/>
                <w:bCs/>
                <w:color w:val="C00000"/>
              </w:rPr>
              <w:t>Double counts one-time items</w:t>
            </w:r>
            <w:r w:rsidRPr="00603AFE">
              <w:rPr>
                <w:rFonts w:ascii="Arial" w:hAnsi="Arial" w:cs="Arial"/>
              </w:rPr>
              <w:t xml:space="preserve">. Removing bond proceeds </w:t>
            </w:r>
            <w:r w:rsidR="00E84E1C" w:rsidRPr="00794823">
              <w:rPr>
                <w:rFonts w:ascii="Arial" w:hAnsi="Arial" w:cs="Arial"/>
              </w:rPr>
              <w:t>and</w:t>
            </w:r>
            <w:r w:rsidRPr="00603AFE">
              <w:rPr>
                <w:rFonts w:ascii="Arial" w:hAnsi="Arial" w:cs="Arial"/>
              </w:rPr>
              <w:t xml:space="preserve"> required accounting rules, budget shows ~97% total growth</w:t>
            </w:r>
            <w:r w:rsidR="00E84E1C" w:rsidRPr="00794823">
              <w:rPr>
                <w:rFonts w:ascii="Arial" w:hAnsi="Arial" w:cs="Arial"/>
              </w:rPr>
              <w:t xml:space="preserve"> (not 244%)</w:t>
            </w:r>
            <w:r w:rsidRPr="00603AFE">
              <w:rPr>
                <w:rFonts w:ascii="Arial" w:hAnsi="Arial" w:cs="Arial"/>
              </w:rPr>
              <w:t xml:space="preserve"> </w:t>
            </w:r>
            <w:r w:rsidR="00E84E1C" w:rsidRPr="00794823">
              <w:rPr>
                <w:rFonts w:ascii="Arial" w:hAnsi="Arial" w:cs="Arial"/>
              </w:rPr>
              <w:t xml:space="preserve">or </w:t>
            </w:r>
            <w:r w:rsidRPr="00603AFE">
              <w:rPr>
                <w:rFonts w:ascii="Arial" w:hAnsi="Arial" w:cs="Arial"/>
              </w:rPr>
              <w:t>≈8%/yr</w:t>
            </w:r>
            <w:r w:rsidR="00E84E1C" w:rsidRPr="00794823">
              <w:rPr>
                <w:rFonts w:ascii="Arial" w:hAnsi="Arial" w:cs="Arial"/>
              </w:rPr>
              <w:t xml:space="preserve">.  </w:t>
            </w:r>
            <w:r w:rsidR="00E84E1C" w:rsidRPr="00794823">
              <w:rPr>
                <w:rFonts w:ascii="Arial" w:hAnsi="Arial" w:cs="Arial"/>
                <w:b/>
                <w:bCs/>
              </w:rPr>
              <w:t>Not even close.</w:t>
            </w:r>
          </w:p>
        </w:tc>
      </w:tr>
    </w:tbl>
    <w:p w14:paraId="75003C93" w14:textId="77777777" w:rsidR="00ED72A6" w:rsidRPr="00794823" w:rsidRDefault="00ED72A6">
      <w:pPr>
        <w:rPr>
          <w:rFonts w:ascii="Arial" w:hAnsi="Arial" w:cs="Arial"/>
        </w:rPr>
      </w:pPr>
    </w:p>
    <w:sectPr w:rsidR="00ED72A6" w:rsidRPr="00794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FE"/>
    <w:rsid w:val="000A3622"/>
    <w:rsid w:val="00326BD3"/>
    <w:rsid w:val="00480216"/>
    <w:rsid w:val="004D51FF"/>
    <w:rsid w:val="0051651E"/>
    <w:rsid w:val="00565602"/>
    <w:rsid w:val="005F20EB"/>
    <w:rsid w:val="005F3A17"/>
    <w:rsid w:val="00601A33"/>
    <w:rsid w:val="00603AFE"/>
    <w:rsid w:val="00772D77"/>
    <w:rsid w:val="00794823"/>
    <w:rsid w:val="008A598E"/>
    <w:rsid w:val="008A73FD"/>
    <w:rsid w:val="00E84E1C"/>
    <w:rsid w:val="00E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6D0B"/>
  <w15:chartTrackingRefBased/>
  <w15:docId w15:val="{B1BED6BF-1948-43B8-95F7-8F15854B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AFE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51651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UCHealth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Todd</dc:creator>
  <cp:keywords/>
  <dc:description/>
  <cp:lastModifiedBy>Cohen, Todd</cp:lastModifiedBy>
  <cp:revision>5</cp:revision>
  <dcterms:created xsi:type="dcterms:W3CDTF">2025-09-26T21:37:00Z</dcterms:created>
  <dcterms:modified xsi:type="dcterms:W3CDTF">2025-09-26T22:06:00Z</dcterms:modified>
</cp:coreProperties>
</file>